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73FA" w:rsidRDefault="00A018F7">
      <w:pPr>
        <w:pStyle w:val="a3"/>
        <w:spacing w:before="3"/>
        <w:rPr>
          <w:rFonts w:ascii="Times New Roman"/>
          <w:sz w:val="19"/>
        </w:rPr>
      </w:pPr>
      <w:r>
        <w:pict>
          <v:shapetype id="_x0000_t202" coordsize="21600,21600" o:spt="202" path="m,l,21600r21600,l21600,xe">
            <v:stroke joinstyle="miter"/>
            <v:path gradientshapeok="t" o:connecttype="rect"/>
          </v:shapetype>
          <v:shape id="_x0000_s1026" type="#_x0000_t202" style="position:absolute;margin-left:435pt;margin-top:-8pt;width:171.6pt;height:240.8pt;z-index:251657728;mso-position-horizontal-relative:page" fillcolor="#f79546" strokecolor="#b66c30" strokeweight="2pt">
            <v:textbox inset="0,0,0,0">
              <w:txbxContent>
                <w:p w:rsidR="00DA73FA" w:rsidRDefault="00A956EA">
                  <w:pPr>
                    <w:spacing w:before="71" w:line="278" w:lineRule="auto"/>
                    <w:ind w:left="144"/>
                    <w:rPr>
                      <w:rFonts w:ascii="Arial"/>
                      <w:sz w:val="20"/>
                    </w:rPr>
                  </w:pPr>
                  <w:r>
                    <w:rPr>
                      <w:rFonts w:ascii="Arial"/>
                      <w:color w:val="FFFFFF"/>
                      <w:sz w:val="20"/>
                    </w:rPr>
                    <w:t>This was a strong but not perfect piece (and was too long).</w:t>
                  </w:r>
                </w:p>
                <w:p w:rsidR="00DA73FA" w:rsidRDefault="00A956EA">
                  <w:pPr>
                    <w:spacing w:line="228" w:lineRule="exact"/>
                    <w:ind w:left="144"/>
                    <w:rPr>
                      <w:rFonts w:ascii="Arial"/>
                      <w:sz w:val="20"/>
                    </w:rPr>
                  </w:pPr>
                  <w:r>
                    <w:rPr>
                      <w:rFonts w:ascii="Arial"/>
                      <w:color w:val="FFFFFF"/>
                      <w:sz w:val="20"/>
                    </w:rPr>
                    <w:t>Feedback was:</w:t>
                  </w:r>
                </w:p>
                <w:p w:rsidR="00DA73FA" w:rsidRDefault="00DA73FA">
                  <w:pPr>
                    <w:pStyle w:val="a3"/>
                    <w:spacing w:before="1"/>
                    <w:rPr>
                      <w:sz w:val="19"/>
                    </w:rPr>
                  </w:pPr>
                </w:p>
                <w:p w:rsidR="00DA73FA" w:rsidRDefault="00A956EA">
                  <w:pPr>
                    <w:spacing w:line="276" w:lineRule="auto"/>
                    <w:ind w:left="144" w:right="158"/>
                    <w:rPr>
                      <w:rFonts w:ascii="Arial"/>
                      <w:sz w:val="20"/>
                    </w:rPr>
                  </w:pPr>
                  <w:r>
                    <w:rPr>
                      <w:rFonts w:ascii="Arial"/>
                      <w:color w:val="FFFFFF"/>
                      <w:sz w:val="20"/>
                    </w:rPr>
                    <w:t>You demonstrate a good knowledge of the area, with some thoughtful insights, though make sure you base it on academic rather than practitioner sources in future. You could also have done a better job in presenting the results of your research - for instanc</w:t>
                  </w:r>
                  <w:r>
                    <w:rPr>
                      <w:rFonts w:ascii="Arial"/>
                      <w:color w:val="FFFFFF"/>
                      <w:sz w:val="20"/>
                    </w:rPr>
                    <w:t>e, using your own words rather than extended quotations, and using APA for formatting references (</w:t>
                  </w:r>
                  <w:proofErr w:type="spellStart"/>
                  <w:r>
                    <w:rPr>
                      <w:rFonts w:ascii="Arial"/>
                      <w:color w:val="FFFFFF"/>
                      <w:sz w:val="20"/>
                    </w:rPr>
                    <w:t>eg</w:t>
                  </w:r>
                  <w:proofErr w:type="spellEnd"/>
                  <w:r>
                    <w:rPr>
                      <w:rFonts w:ascii="Arial"/>
                      <w:color w:val="FFFFFF"/>
                      <w:sz w:val="20"/>
                    </w:rPr>
                    <w:t xml:space="preserve"> not numbering the bibliography entries).</w:t>
                  </w:r>
                </w:p>
              </w:txbxContent>
            </v:textbox>
            <w10:wrap anchorx="page"/>
          </v:shape>
        </w:pict>
      </w:r>
    </w:p>
    <w:p w:rsidR="00DA73FA" w:rsidRDefault="00A956EA">
      <w:pPr>
        <w:pStyle w:val="1"/>
        <w:spacing w:before="51" w:line="441" w:lineRule="auto"/>
        <w:ind w:left="2018" w:right="2779" w:hanging="1748"/>
      </w:pPr>
      <w:r>
        <w:t>Security Audit and Compliance Formative Assessment Coursework Part A</w:t>
      </w:r>
    </w:p>
    <w:p w:rsidR="00DA73FA" w:rsidRDefault="00A956EA">
      <w:pPr>
        <w:pStyle w:val="a3"/>
        <w:spacing w:line="360" w:lineRule="auto"/>
        <w:ind w:left="100" w:right="3773"/>
        <w:jc w:val="both"/>
      </w:pPr>
      <w:bookmarkStart w:id="0" w:name="_GoBack"/>
      <w:r>
        <w:t>Data privacy and security in this increasingl</w:t>
      </w:r>
      <w:r>
        <w:t xml:space="preserve">y data driven </w:t>
      </w:r>
      <w:bookmarkEnd w:id="0"/>
      <w:r>
        <w:t>world is considered one of the foremost concerns of any organization collecting, storing or using data. With the increasing sophistication and frequency of cyber-attacks, it is seen as almost paramount to design systems to protect the privacy</w:t>
      </w:r>
      <w:r>
        <w:t xml:space="preserve"> of user data. Such a requirement is fast becoming mandatory via impending regulation on the use and storing of personal data. Organizations must now as a consequence strive to meet the obligations    </w:t>
      </w:r>
      <w:r>
        <w:rPr>
          <w:spacing w:val="12"/>
        </w:rPr>
        <w:t xml:space="preserve"> </w:t>
      </w:r>
      <w:proofErr w:type="gramStart"/>
      <w:r>
        <w:t>of  data</w:t>
      </w:r>
      <w:proofErr w:type="gramEnd"/>
    </w:p>
    <w:p w:rsidR="00DA73FA" w:rsidRDefault="00A956EA">
      <w:pPr>
        <w:pStyle w:val="a3"/>
        <w:spacing w:line="293" w:lineRule="exact"/>
        <w:ind w:left="100"/>
        <w:jc w:val="both"/>
      </w:pPr>
      <w:r>
        <w:t>security, data privacy and meet compliance ob</w:t>
      </w:r>
      <w:r>
        <w:t>ligations is a holistic way (</w:t>
      </w:r>
      <w:proofErr w:type="spellStart"/>
      <w:r>
        <w:t>Salido</w:t>
      </w:r>
      <w:proofErr w:type="spellEnd"/>
      <w:r>
        <w:t>, 2010).</w:t>
      </w:r>
    </w:p>
    <w:p w:rsidR="00DA73FA" w:rsidRDefault="00DA73FA">
      <w:pPr>
        <w:pStyle w:val="a3"/>
        <w:spacing w:before="6"/>
        <w:rPr>
          <w:sz w:val="28"/>
        </w:rPr>
      </w:pPr>
    </w:p>
    <w:p w:rsidR="00DA73FA" w:rsidRDefault="00A956EA">
      <w:pPr>
        <w:pStyle w:val="a3"/>
        <w:spacing w:line="360" w:lineRule="auto"/>
        <w:ind w:left="100" w:right="114" w:firstLine="719"/>
        <w:jc w:val="both"/>
      </w:pPr>
      <w:r>
        <w:t>Several implications arise from this, the first being that organizations must now seek to understand what is personal data, and whether they are considered data controllers or processors. Personal data is define</w:t>
      </w:r>
      <w:r>
        <w:t>d by Directive 95/46/EC of the European Parliament as:</w:t>
      </w:r>
    </w:p>
    <w:p w:rsidR="00DA73FA" w:rsidRDefault="00A956EA">
      <w:pPr>
        <w:pStyle w:val="a3"/>
        <w:spacing w:before="199" w:line="360" w:lineRule="auto"/>
        <w:ind w:left="100" w:right="111"/>
        <w:jc w:val="both"/>
      </w:pPr>
      <w:r>
        <w:t>“any information relating to an identified or identifiable natural person (data subject); an identifiable person is one who can be identified, directly or indirectly, in particular by reference to an i</w:t>
      </w:r>
      <w:r>
        <w:t>dentification number or to one or more factors specific to his physical, physiological, mental, economic, cultural or social identity”. Article 2(a)</w:t>
      </w:r>
    </w:p>
    <w:p w:rsidR="00DA73FA" w:rsidRDefault="00A956EA">
      <w:pPr>
        <w:pStyle w:val="a3"/>
        <w:spacing w:before="199" w:line="360" w:lineRule="auto"/>
        <w:ind w:left="100" w:right="117"/>
        <w:jc w:val="both"/>
      </w:pPr>
      <w:r>
        <w:t>I will divide the practical implications into two categories, namely operational and legislative or compliance implications.</w:t>
      </w:r>
    </w:p>
    <w:p w:rsidR="00DA73FA" w:rsidRDefault="00A956EA">
      <w:pPr>
        <w:pStyle w:val="1"/>
        <w:ind w:left="820"/>
      </w:pPr>
      <w:r>
        <w:t>Operational Implications</w:t>
      </w:r>
    </w:p>
    <w:p w:rsidR="00DA73FA" w:rsidRDefault="00DA73FA">
      <w:pPr>
        <w:pStyle w:val="a3"/>
        <w:spacing w:before="10"/>
        <w:rPr>
          <w:b/>
          <w:sz w:val="19"/>
        </w:rPr>
      </w:pPr>
    </w:p>
    <w:p w:rsidR="00DA73FA" w:rsidRDefault="00A956EA">
      <w:pPr>
        <w:pStyle w:val="a3"/>
        <w:spacing w:before="1" w:line="360" w:lineRule="auto"/>
        <w:ind w:left="100" w:right="112" w:firstLine="719"/>
        <w:jc w:val="both"/>
      </w:pPr>
      <w:r>
        <w:t xml:space="preserve">Operationally, an organization may be moved to perform audits to determine the amount of ‘personal data’ </w:t>
      </w:r>
      <w:r>
        <w:t xml:space="preserve">being held, and develop policies on how to secure it. One such policy may speak to how long such data is being held, as some writers indicate that there is a trend in social media where users would prefer their data to be ephemeral (Landau, 2014). Another </w:t>
      </w:r>
      <w:r>
        <w:t>implication is that additional expenditure outlays may be necessary to redesign privacy capability into legacy security systems. Some may go the route of purchasing new systems with</w:t>
      </w:r>
    </w:p>
    <w:p w:rsidR="00DA73FA" w:rsidRDefault="00DA73FA">
      <w:pPr>
        <w:spacing w:line="360" w:lineRule="auto"/>
        <w:jc w:val="both"/>
        <w:sectPr w:rsidR="00DA73FA">
          <w:headerReference w:type="default" r:id="rId7"/>
          <w:type w:val="continuous"/>
          <w:pgSz w:w="12240" w:h="15840"/>
          <w:pgMar w:top="980" w:right="1320" w:bottom="280" w:left="1340" w:header="763" w:footer="720" w:gutter="0"/>
          <w:cols w:space="720"/>
        </w:sectPr>
      </w:pPr>
    </w:p>
    <w:p w:rsidR="00DA73FA" w:rsidRDefault="00DA73FA">
      <w:pPr>
        <w:pStyle w:val="a3"/>
        <w:spacing w:before="1"/>
        <w:rPr>
          <w:sz w:val="18"/>
        </w:rPr>
      </w:pPr>
    </w:p>
    <w:p w:rsidR="00DA73FA" w:rsidRDefault="00A956EA">
      <w:pPr>
        <w:pStyle w:val="a3"/>
        <w:spacing w:before="52" w:line="360" w:lineRule="auto"/>
        <w:ind w:left="100" w:right="112"/>
        <w:jc w:val="both"/>
      </w:pPr>
      <w:r>
        <w:t>privacy and security protocols built in, or instituting Privacy by Design strategies in the development and design of a new system. It is wise to determine when and how privacy is violated to determine how it is to be prevented (</w:t>
      </w:r>
      <w:proofErr w:type="spellStart"/>
      <w:r>
        <w:t>Hoepman</w:t>
      </w:r>
      <w:proofErr w:type="spellEnd"/>
      <w:r>
        <w:t xml:space="preserve">, 2014). </w:t>
      </w:r>
      <w:proofErr w:type="spellStart"/>
      <w:r>
        <w:t>Hoepman</w:t>
      </w:r>
      <w:proofErr w:type="spellEnd"/>
      <w:r>
        <w:t xml:space="preserve"> als</w:t>
      </w:r>
      <w:r>
        <w:t>o indicated that privacy cannot be implemented as an add-on but must be addressed from the outset. Solove (2006) identified four groups of activities which affect privacy namely information collection, processing, dissemination and invasions. These must be</w:t>
      </w:r>
      <w:r>
        <w:t xml:space="preserve"> considered for privacy to be effectively maintained. </w:t>
      </w:r>
      <w:proofErr w:type="spellStart"/>
      <w:r>
        <w:t>Borking</w:t>
      </w:r>
      <w:proofErr w:type="spellEnd"/>
      <w:r>
        <w:t xml:space="preserve"> and </w:t>
      </w:r>
      <w:proofErr w:type="spellStart"/>
      <w:r>
        <w:t>Blarkom</w:t>
      </w:r>
      <w:proofErr w:type="spellEnd"/>
      <w:r>
        <w:t xml:space="preserve"> </w:t>
      </w:r>
      <w:proofErr w:type="gramStart"/>
      <w:r>
        <w:t>et al..</w:t>
      </w:r>
      <w:proofErr w:type="gramEnd"/>
      <w:r>
        <w:t xml:space="preserve"> (2003) endorsed the use of Privacy Enhancing technologies which they define as “a system of ICT measures protecting informational privacy by eliminating or minimizing persona</w:t>
      </w:r>
      <w:r>
        <w:t>l data thereby preventing unnecessary or unwanted processing of personal data, without the loss of the functionality of the information system.” This could be implemented by businesses or in the future may be made a legal requirement. Another implication i</w:t>
      </w:r>
      <w:r>
        <w:t>s the loss of market share if customers believe that basic security and privacy standards are not met. Businesses must ensure that their public image is one that exudes a conduct of operations at the highest privacy and security</w:t>
      </w:r>
      <w:r>
        <w:rPr>
          <w:spacing w:val="-35"/>
        </w:rPr>
        <w:t xml:space="preserve"> </w:t>
      </w:r>
      <w:r>
        <w:t>standards.</w:t>
      </w:r>
    </w:p>
    <w:p w:rsidR="00DA73FA" w:rsidRDefault="00A956EA">
      <w:pPr>
        <w:pStyle w:val="1"/>
        <w:jc w:val="both"/>
      </w:pPr>
      <w:r>
        <w:t>Legislative/ Com</w:t>
      </w:r>
      <w:r>
        <w:t>pliance Implications</w:t>
      </w:r>
    </w:p>
    <w:p w:rsidR="00DA73FA" w:rsidRDefault="00DA73FA">
      <w:pPr>
        <w:pStyle w:val="a3"/>
        <w:spacing w:before="10"/>
        <w:rPr>
          <w:b/>
          <w:sz w:val="19"/>
        </w:rPr>
      </w:pPr>
    </w:p>
    <w:p w:rsidR="00DA73FA" w:rsidRDefault="00A956EA">
      <w:pPr>
        <w:pStyle w:val="a3"/>
        <w:spacing w:line="360" w:lineRule="auto"/>
        <w:ind w:left="100" w:right="114"/>
        <w:jc w:val="both"/>
      </w:pPr>
      <w:r>
        <w:t>“The lack of harmonization in EU Member States’ data protection laws means that cross-border research projects involving ‘personal data’ may have to comply with different States’ laws regarding different sets of data, or indeed even the same data set.” (Mi</w:t>
      </w:r>
      <w:r>
        <w:t xml:space="preserve">llard and </w:t>
      </w:r>
      <w:proofErr w:type="spellStart"/>
      <w:r>
        <w:t>Kuan</w:t>
      </w:r>
      <w:proofErr w:type="spellEnd"/>
      <w:r>
        <w:t xml:space="preserve"> Hon, 2012). Millard and </w:t>
      </w:r>
      <w:proofErr w:type="spellStart"/>
      <w:r>
        <w:t>Kuan</w:t>
      </w:r>
      <w:proofErr w:type="spellEnd"/>
      <w:r>
        <w:t xml:space="preserve"> Hon (2012) also intimated that social science research funding </w:t>
      </w:r>
      <w:proofErr w:type="gramStart"/>
      <w:r>
        <w:t>may  also</w:t>
      </w:r>
      <w:proofErr w:type="gramEnd"/>
      <w:r>
        <w:t xml:space="preserve"> be impacted as funding agencies very are cognizant of the legal implications of processing personal data, and have stressed the review of c</w:t>
      </w:r>
      <w:r>
        <w:t>ompliance rules. Based on what regions business is being conducted, it is imperative to understand what laws apply, as there are serious legal implications. (Impending</w:t>
      </w:r>
      <w:r>
        <w:rPr>
          <w:spacing w:val="-20"/>
        </w:rPr>
        <w:t xml:space="preserve"> </w:t>
      </w:r>
      <w:r>
        <w:t>GDPR).</w:t>
      </w:r>
    </w:p>
    <w:p w:rsidR="00DA73FA" w:rsidRDefault="00A956EA">
      <w:pPr>
        <w:pStyle w:val="a3"/>
        <w:spacing w:before="199" w:line="360" w:lineRule="auto"/>
        <w:ind w:left="100" w:right="115"/>
        <w:jc w:val="both"/>
      </w:pPr>
      <w:r>
        <w:t xml:space="preserve">So </w:t>
      </w:r>
      <w:proofErr w:type="gramStart"/>
      <w:r>
        <w:t>clearly</w:t>
      </w:r>
      <w:proofErr w:type="gramEnd"/>
      <w:r>
        <w:t xml:space="preserve"> we see the relationship between privacy and security bares implication</w:t>
      </w:r>
      <w:r>
        <w:t xml:space="preserve"> for research, funding business operating cost, competitive advantage and legal standing. Governance’s role now is to develop policies and standards and charge management to implement these through various guidelines, practices and procedures, (</w:t>
      </w:r>
      <w:proofErr w:type="spellStart"/>
      <w:r>
        <w:t>Hopeman</w:t>
      </w:r>
      <w:proofErr w:type="spellEnd"/>
      <w:r>
        <w:t>, 20</w:t>
      </w:r>
      <w:r>
        <w:t xml:space="preserve">14). One approach which can be used is the Data Governance for Privacy, Confidentiality and Compliance approach (DGPC) </w:t>
      </w:r>
      <w:proofErr w:type="gramStart"/>
      <w:r>
        <w:t>which  assists</w:t>
      </w:r>
      <w:proofErr w:type="gramEnd"/>
      <w:r>
        <w:t xml:space="preserve"> organizations in  creating a governance program which address security,    privacy</w:t>
      </w:r>
    </w:p>
    <w:p w:rsidR="00DA73FA" w:rsidRDefault="00DA73FA">
      <w:pPr>
        <w:spacing w:line="360" w:lineRule="auto"/>
        <w:jc w:val="both"/>
        <w:sectPr w:rsidR="00DA73FA">
          <w:pgSz w:w="12240" w:h="15840"/>
          <w:pgMar w:top="980" w:right="1320" w:bottom="280" w:left="1340" w:header="763" w:footer="0" w:gutter="0"/>
          <w:cols w:space="720"/>
        </w:sectPr>
      </w:pPr>
    </w:p>
    <w:p w:rsidR="00DA73FA" w:rsidRDefault="00DA73FA">
      <w:pPr>
        <w:pStyle w:val="a3"/>
        <w:spacing w:before="1"/>
        <w:rPr>
          <w:sz w:val="18"/>
        </w:rPr>
      </w:pPr>
    </w:p>
    <w:p w:rsidR="00DA73FA" w:rsidRDefault="00A956EA">
      <w:pPr>
        <w:pStyle w:val="a3"/>
        <w:spacing w:before="52" w:line="360" w:lineRule="auto"/>
        <w:ind w:left="100" w:right="113"/>
        <w:jc w:val="both"/>
      </w:pPr>
      <w:r>
        <w:t>and compliance, while en</w:t>
      </w:r>
      <w:r>
        <w:t>compassing existing IT governance programs. (</w:t>
      </w:r>
      <w:proofErr w:type="spellStart"/>
      <w:r>
        <w:t>Salido</w:t>
      </w:r>
      <w:proofErr w:type="spellEnd"/>
      <w:r>
        <w:t>, 2010). Governance’s role is also to think strategically and to be sensitive to the fluid and changing nature of security and privacy.</w:t>
      </w:r>
    </w:p>
    <w:p w:rsidR="00DA73FA" w:rsidRDefault="00A956EA">
      <w:pPr>
        <w:pStyle w:val="a3"/>
        <w:spacing w:before="199"/>
        <w:ind w:left="100"/>
        <w:jc w:val="both"/>
      </w:pPr>
      <w:r>
        <w:t>References</w:t>
      </w:r>
    </w:p>
    <w:p w:rsidR="00DA73FA" w:rsidRDefault="00DA73FA">
      <w:pPr>
        <w:pStyle w:val="a3"/>
        <w:rPr>
          <w:sz w:val="20"/>
        </w:rPr>
      </w:pPr>
    </w:p>
    <w:p w:rsidR="00DA73FA" w:rsidRDefault="00A956EA">
      <w:pPr>
        <w:pStyle w:val="a4"/>
        <w:numPr>
          <w:ilvl w:val="0"/>
          <w:numId w:val="1"/>
        </w:numPr>
        <w:tabs>
          <w:tab w:val="left" w:pos="821"/>
        </w:tabs>
        <w:spacing w:before="0" w:line="278" w:lineRule="auto"/>
        <w:ind w:right="117"/>
        <w:jc w:val="both"/>
        <w:rPr>
          <w:sz w:val="24"/>
        </w:rPr>
      </w:pPr>
      <w:proofErr w:type="spellStart"/>
      <w:r>
        <w:rPr>
          <w:sz w:val="24"/>
        </w:rPr>
        <w:t>Salido</w:t>
      </w:r>
      <w:proofErr w:type="spellEnd"/>
      <w:r>
        <w:rPr>
          <w:sz w:val="24"/>
        </w:rPr>
        <w:t>, J., (2010), Data Governance for Privacy, Confiden</w:t>
      </w:r>
      <w:r>
        <w:rPr>
          <w:sz w:val="24"/>
        </w:rPr>
        <w:t xml:space="preserve">tiality and Compliance: </w:t>
      </w:r>
      <w:proofErr w:type="gramStart"/>
      <w:r>
        <w:rPr>
          <w:sz w:val="24"/>
        </w:rPr>
        <w:t>A  Holistic</w:t>
      </w:r>
      <w:proofErr w:type="gramEnd"/>
      <w:r>
        <w:rPr>
          <w:sz w:val="24"/>
        </w:rPr>
        <w:t xml:space="preserve"> Approach, </w:t>
      </w:r>
      <w:r>
        <w:rPr>
          <w:i/>
          <w:sz w:val="24"/>
        </w:rPr>
        <w:t>ISACA JOURNAL,  Volume</w:t>
      </w:r>
      <w:r>
        <w:rPr>
          <w:i/>
          <w:spacing w:val="-15"/>
          <w:sz w:val="24"/>
        </w:rPr>
        <w:t xml:space="preserve"> </w:t>
      </w:r>
      <w:r>
        <w:rPr>
          <w:sz w:val="24"/>
        </w:rPr>
        <w:t>(6)</w:t>
      </w:r>
    </w:p>
    <w:p w:rsidR="00DA73FA" w:rsidRDefault="00A956EA">
      <w:pPr>
        <w:pStyle w:val="a4"/>
        <w:numPr>
          <w:ilvl w:val="0"/>
          <w:numId w:val="1"/>
        </w:numPr>
        <w:tabs>
          <w:tab w:val="left" w:pos="821"/>
        </w:tabs>
        <w:spacing w:before="195" w:line="276" w:lineRule="auto"/>
        <w:ind w:right="121"/>
        <w:jc w:val="both"/>
        <w:rPr>
          <w:sz w:val="24"/>
        </w:rPr>
      </w:pPr>
      <w:r>
        <w:rPr>
          <w:sz w:val="24"/>
        </w:rPr>
        <w:t>Directive 95/46/EC of the European Parliament and of the Council of 24 October 1995 on the Protection of individuals with regard to the processing of personal data and on the free movement of such data</w:t>
      </w:r>
      <w:r>
        <w:rPr>
          <w:spacing w:val="-18"/>
          <w:sz w:val="24"/>
        </w:rPr>
        <w:t xml:space="preserve"> </w:t>
      </w:r>
      <w:r>
        <w:rPr>
          <w:sz w:val="24"/>
        </w:rPr>
        <w:t>(‘Directive’)</w:t>
      </w:r>
    </w:p>
    <w:p w:rsidR="00DA73FA" w:rsidRDefault="00A956EA">
      <w:pPr>
        <w:pStyle w:val="a4"/>
        <w:numPr>
          <w:ilvl w:val="0"/>
          <w:numId w:val="1"/>
        </w:numPr>
        <w:tabs>
          <w:tab w:val="left" w:pos="821"/>
        </w:tabs>
        <w:spacing w:line="276" w:lineRule="auto"/>
        <w:ind w:right="113"/>
        <w:jc w:val="both"/>
        <w:rPr>
          <w:sz w:val="24"/>
        </w:rPr>
      </w:pPr>
      <w:r>
        <w:rPr>
          <w:sz w:val="24"/>
        </w:rPr>
        <w:t>Landau, S., (2014), Privacy and Security</w:t>
      </w:r>
      <w:r>
        <w:rPr>
          <w:sz w:val="24"/>
        </w:rPr>
        <w:t xml:space="preserve"> Summing Up, </w:t>
      </w:r>
      <w:r>
        <w:rPr>
          <w:i/>
          <w:sz w:val="24"/>
        </w:rPr>
        <w:t>Communications of the ACM</w:t>
      </w:r>
      <w:r>
        <w:rPr>
          <w:sz w:val="24"/>
        </w:rPr>
        <w:t xml:space="preserve">, </w:t>
      </w:r>
      <w:r>
        <w:rPr>
          <w:i/>
          <w:sz w:val="24"/>
        </w:rPr>
        <w:t xml:space="preserve">Volume </w:t>
      </w:r>
      <w:r>
        <w:rPr>
          <w:sz w:val="24"/>
        </w:rPr>
        <w:t>57(11), 37-39.</w:t>
      </w:r>
      <w:r>
        <w:rPr>
          <w:spacing w:val="-15"/>
          <w:sz w:val="24"/>
        </w:rPr>
        <w:t xml:space="preserve"> </w:t>
      </w:r>
      <w:r>
        <w:rPr>
          <w:sz w:val="24"/>
        </w:rPr>
        <w:t>doi:10.1145/2668901</w:t>
      </w:r>
    </w:p>
    <w:p w:rsidR="00DA73FA" w:rsidRDefault="00A956EA">
      <w:pPr>
        <w:pStyle w:val="a4"/>
        <w:numPr>
          <w:ilvl w:val="0"/>
          <w:numId w:val="1"/>
        </w:numPr>
        <w:tabs>
          <w:tab w:val="left" w:pos="821"/>
          <w:tab w:val="left" w:pos="2344"/>
          <w:tab w:val="left" w:pos="3697"/>
          <w:tab w:val="left" w:pos="5342"/>
          <w:tab w:val="left" w:pos="7067"/>
          <w:tab w:val="left" w:pos="8324"/>
        </w:tabs>
        <w:spacing w:line="276" w:lineRule="auto"/>
        <w:jc w:val="both"/>
        <w:rPr>
          <w:sz w:val="24"/>
        </w:rPr>
      </w:pPr>
      <w:proofErr w:type="spellStart"/>
      <w:r>
        <w:rPr>
          <w:sz w:val="24"/>
        </w:rPr>
        <w:t>Hoepman</w:t>
      </w:r>
      <w:proofErr w:type="spellEnd"/>
      <w:r>
        <w:rPr>
          <w:sz w:val="24"/>
        </w:rPr>
        <w:t xml:space="preserve"> J.H., (2014) Privacy Design Strategies, </w:t>
      </w:r>
      <w:r>
        <w:rPr>
          <w:i/>
          <w:sz w:val="24"/>
        </w:rPr>
        <w:t>IFIP Advances in Information and Communication Technology, ICT Systems Security and Privacy Protection</w:t>
      </w:r>
      <w:r>
        <w:rPr>
          <w:sz w:val="24"/>
        </w:rPr>
        <w:t xml:space="preserve">. SEC 2014, </w:t>
      </w:r>
      <w:r>
        <w:rPr>
          <w:i/>
          <w:sz w:val="24"/>
        </w:rPr>
        <w:t>Volume</w:t>
      </w:r>
      <w:r>
        <w:rPr>
          <w:i/>
          <w:sz w:val="24"/>
        </w:rPr>
        <w:tab/>
      </w:r>
      <w:r>
        <w:rPr>
          <w:sz w:val="24"/>
        </w:rPr>
        <w:t>(428)</w:t>
      </w:r>
      <w:r>
        <w:rPr>
          <w:sz w:val="24"/>
        </w:rPr>
        <w:t>,</w:t>
      </w:r>
      <w:r>
        <w:rPr>
          <w:sz w:val="24"/>
        </w:rPr>
        <w:tab/>
        <w:t>446-459.</w:t>
      </w:r>
      <w:r>
        <w:rPr>
          <w:sz w:val="24"/>
        </w:rPr>
        <w:tab/>
        <w:t>Retrieved</w:t>
      </w:r>
      <w:r>
        <w:rPr>
          <w:sz w:val="24"/>
        </w:rPr>
        <w:tab/>
        <w:t>from</w:t>
      </w:r>
      <w:r>
        <w:rPr>
          <w:sz w:val="24"/>
        </w:rPr>
        <w:tab/>
      </w:r>
      <w:hyperlink r:id="rId8">
        <w:r>
          <w:rPr>
            <w:color w:val="0000FF"/>
            <w:sz w:val="24"/>
            <w:u w:val="single" w:color="0000FF"/>
          </w:rPr>
          <w:t xml:space="preserve">https://doi- </w:t>
        </w:r>
      </w:hyperlink>
      <w:hyperlink r:id="rId9">
        <w:r>
          <w:rPr>
            <w:color w:val="0000FF"/>
            <w:sz w:val="24"/>
            <w:u w:val="single" w:color="0000FF"/>
          </w:rPr>
          <w:t>org.ezproxy.napier.ac.uk/10.1007/978-3-642-5541</w:t>
        </w:r>
        <w:r>
          <w:rPr>
            <w:color w:val="0000FF"/>
            <w:sz w:val="24"/>
            <w:u w:val="single" w:color="0000FF"/>
          </w:rPr>
          <w:t>5-5_38</w:t>
        </w:r>
      </w:hyperlink>
    </w:p>
    <w:p w:rsidR="00DA73FA" w:rsidRDefault="00DA73FA">
      <w:pPr>
        <w:pStyle w:val="a3"/>
        <w:spacing w:before="2"/>
        <w:rPr>
          <w:sz w:val="12"/>
        </w:rPr>
      </w:pPr>
    </w:p>
    <w:p w:rsidR="00DA73FA" w:rsidRDefault="00A956EA">
      <w:pPr>
        <w:pStyle w:val="a4"/>
        <w:numPr>
          <w:ilvl w:val="0"/>
          <w:numId w:val="1"/>
        </w:numPr>
        <w:tabs>
          <w:tab w:val="left" w:pos="821"/>
        </w:tabs>
        <w:spacing w:before="52" w:line="276" w:lineRule="auto"/>
        <w:ind w:right="121"/>
        <w:jc w:val="both"/>
        <w:rPr>
          <w:sz w:val="24"/>
        </w:rPr>
      </w:pPr>
      <w:r>
        <w:rPr>
          <w:sz w:val="24"/>
        </w:rPr>
        <w:t>Solove, D. J., (2014), A taxonomy of privacy</w:t>
      </w:r>
      <w:r>
        <w:rPr>
          <w:i/>
          <w:sz w:val="24"/>
        </w:rPr>
        <w:t xml:space="preserve">, University of Pennsylvania Law Review, Volume </w:t>
      </w:r>
      <w:r>
        <w:rPr>
          <w:sz w:val="24"/>
        </w:rPr>
        <w:t>154(3),</w:t>
      </w:r>
      <w:r>
        <w:rPr>
          <w:spacing w:val="-2"/>
          <w:sz w:val="24"/>
        </w:rPr>
        <w:t xml:space="preserve"> </w:t>
      </w:r>
      <w:r>
        <w:rPr>
          <w:sz w:val="24"/>
        </w:rPr>
        <w:t>477–564</w:t>
      </w:r>
    </w:p>
    <w:p w:rsidR="00DA73FA" w:rsidRDefault="00A956EA">
      <w:pPr>
        <w:pStyle w:val="a4"/>
        <w:numPr>
          <w:ilvl w:val="0"/>
          <w:numId w:val="1"/>
        </w:numPr>
        <w:tabs>
          <w:tab w:val="left" w:pos="821"/>
        </w:tabs>
        <w:ind w:right="0"/>
        <w:rPr>
          <w:sz w:val="24"/>
        </w:rPr>
      </w:pPr>
      <w:r>
        <w:rPr>
          <w:sz w:val="24"/>
        </w:rPr>
        <w:t xml:space="preserve">Van </w:t>
      </w:r>
      <w:proofErr w:type="spellStart"/>
      <w:r>
        <w:rPr>
          <w:sz w:val="24"/>
        </w:rPr>
        <w:t>Blarkom</w:t>
      </w:r>
      <w:proofErr w:type="spellEnd"/>
      <w:r>
        <w:rPr>
          <w:sz w:val="24"/>
        </w:rPr>
        <w:t xml:space="preserve">, G.W., </w:t>
      </w:r>
      <w:proofErr w:type="spellStart"/>
      <w:r>
        <w:rPr>
          <w:sz w:val="24"/>
        </w:rPr>
        <w:t>Borking</w:t>
      </w:r>
      <w:proofErr w:type="spellEnd"/>
      <w:r>
        <w:rPr>
          <w:sz w:val="24"/>
        </w:rPr>
        <w:t xml:space="preserve">, J.J., </w:t>
      </w:r>
      <w:proofErr w:type="spellStart"/>
      <w:r>
        <w:rPr>
          <w:sz w:val="24"/>
        </w:rPr>
        <w:t>Verhaar</w:t>
      </w:r>
      <w:proofErr w:type="spellEnd"/>
      <w:r>
        <w:rPr>
          <w:sz w:val="24"/>
        </w:rPr>
        <w:t xml:space="preserve">, P.: PET. In: van </w:t>
      </w:r>
      <w:proofErr w:type="spellStart"/>
      <w:r>
        <w:rPr>
          <w:sz w:val="24"/>
        </w:rPr>
        <w:t>Blarkom</w:t>
      </w:r>
      <w:proofErr w:type="spellEnd"/>
      <w:r>
        <w:rPr>
          <w:sz w:val="24"/>
        </w:rPr>
        <w:t xml:space="preserve">, G.W., </w:t>
      </w:r>
      <w:proofErr w:type="spellStart"/>
      <w:r>
        <w:rPr>
          <w:sz w:val="24"/>
        </w:rPr>
        <w:t>Borking</w:t>
      </w:r>
      <w:proofErr w:type="spellEnd"/>
      <w:r>
        <w:rPr>
          <w:sz w:val="24"/>
        </w:rPr>
        <w:t>,</w:t>
      </w:r>
      <w:r>
        <w:rPr>
          <w:spacing w:val="-30"/>
          <w:sz w:val="24"/>
        </w:rPr>
        <w:t xml:space="preserve"> </w:t>
      </w:r>
      <w:r>
        <w:rPr>
          <w:sz w:val="24"/>
        </w:rPr>
        <w:t>J.J.,</w:t>
      </w:r>
    </w:p>
    <w:p w:rsidR="00DA73FA" w:rsidRDefault="00DA73FA">
      <w:pPr>
        <w:pStyle w:val="a3"/>
        <w:spacing w:before="10"/>
        <w:rPr>
          <w:sz w:val="19"/>
        </w:rPr>
      </w:pPr>
    </w:p>
    <w:p w:rsidR="00DA73FA" w:rsidRDefault="00A956EA">
      <w:pPr>
        <w:pStyle w:val="a3"/>
        <w:spacing w:line="276" w:lineRule="auto"/>
        <w:ind w:left="820" w:right="114"/>
        <w:jc w:val="both"/>
      </w:pPr>
      <w:proofErr w:type="spellStart"/>
      <w:r>
        <w:t>Olk</w:t>
      </w:r>
      <w:proofErr w:type="spellEnd"/>
      <w:r>
        <w:t>, J.G.E. (eds.) (2003) Handbook of Privacy and</w:t>
      </w:r>
      <w:r>
        <w:t xml:space="preserve"> Privacy-Enhancing Technologies - The Case of Intelligent Software </w:t>
      </w:r>
      <w:proofErr w:type="spellStart"/>
      <w:r>
        <w:t>Agnets</w:t>
      </w:r>
      <w:proofErr w:type="spellEnd"/>
      <w:r>
        <w:t xml:space="preserve">, </w:t>
      </w:r>
      <w:proofErr w:type="spellStart"/>
      <w:r>
        <w:t>ch.</w:t>
      </w:r>
      <w:proofErr w:type="spellEnd"/>
      <w:r>
        <w:t xml:space="preserve"> 3, pp. 33–54. College </w:t>
      </w:r>
      <w:proofErr w:type="spellStart"/>
      <w:r>
        <w:t>Bescherming</w:t>
      </w:r>
      <w:proofErr w:type="spellEnd"/>
      <w:r>
        <w:t xml:space="preserve"> </w:t>
      </w:r>
      <w:proofErr w:type="spellStart"/>
      <w:r>
        <w:t>Persoonsgegevens</w:t>
      </w:r>
      <w:proofErr w:type="spellEnd"/>
      <w:r>
        <w:t>, The Hague</w:t>
      </w:r>
    </w:p>
    <w:p w:rsidR="00DA73FA" w:rsidRDefault="00A956EA">
      <w:pPr>
        <w:pStyle w:val="a4"/>
        <w:numPr>
          <w:ilvl w:val="0"/>
          <w:numId w:val="1"/>
        </w:numPr>
        <w:tabs>
          <w:tab w:val="left" w:pos="821"/>
          <w:tab w:val="left" w:pos="2607"/>
          <w:tab w:val="left" w:pos="4716"/>
          <w:tab w:val="left" w:pos="5452"/>
          <w:tab w:val="left" w:pos="6780"/>
          <w:tab w:val="left" w:pos="7840"/>
          <w:tab w:val="left" w:pos="9034"/>
        </w:tabs>
        <w:spacing w:line="276" w:lineRule="auto"/>
        <w:jc w:val="both"/>
        <w:rPr>
          <w:sz w:val="24"/>
        </w:rPr>
      </w:pPr>
      <w:r>
        <w:rPr>
          <w:sz w:val="24"/>
        </w:rPr>
        <w:t xml:space="preserve">Millard, C., &amp; </w:t>
      </w:r>
      <w:proofErr w:type="spellStart"/>
      <w:r>
        <w:rPr>
          <w:sz w:val="24"/>
        </w:rPr>
        <w:t>Kuan</w:t>
      </w:r>
      <w:proofErr w:type="spellEnd"/>
      <w:r>
        <w:rPr>
          <w:sz w:val="24"/>
        </w:rPr>
        <w:t xml:space="preserve"> Hon, W., (2012) DEFINING ‘PERSONAL DATA’ IN E-SOCIAL SCIENCE, </w:t>
      </w:r>
      <w:r>
        <w:rPr>
          <w:i/>
          <w:sz w:val="24"/>
        </w:rPr>
        <w:t>Information,</w:t>
      </w:r>
      <w:r>
        <w:rPr>
          <w:i/>
          <w:sz w:val="24"/>
        </w:rPr>
        <w:tab/>
        <w:t>Communication</w:t>
      </w:r>
      <w:r>
        <w:rPr>
          <w:i/>
          <w:sz w:val="24"/>
        </w:rPr>
        <w:tab/>
        <w:t>&amp;</w:t>
      </w:r>
      <w:r>
        <w:rPr>
          <w:i/>
          <w:sz w:val="24"/>
        </w:rPr>
        <w:tab/>
        <w:t>Soci</w:t>
      </w:r>
      <w:r>
        <w:rPr>
          <w:i/>
          <w:sz w:val="24"/>
        </w:rPr>
        <w:t>ety</w:t>
      </w:r>
      <w:r>
        <w:rPr>
          <w:sz w:val="24"/>
        </w:rPr>
        <w:t>,</w:t>
      </w:r>
      <w:r>
        <w:rPr>
          <w:sz w:val="24"/>
        </w:rPr>
        <w:tab/>
        <w:t>15:1,</w:t>
      </w:r>
      <w:r>
        <w:rPr>
          <w:sz w:val="24"/>
        </w:rPr>
        <w:tab/>
        <w:t>66-84,</w:t>
      </w:r>
      <w:r>
        <w:rPr>
          <w:sz w:val="24"/>
        </w:rPr>
        <w:tab/>
      </w:r>
      <w:r>
        <w:rPr>
          <w:spacing w:val="-1"/>
          <w:sz w:val="24"/>
        </w:rPr>
        <w:t xml:space="preserve">DOI: </w:t>
      </w:r>
      <w:r>
        <w:rPr>
          <w:sz w:val="24"/>
        </w:rPr>
        <w:t>10.1080/1369118X.2011.616518</w:t>
      </w:r>
    </w:p>
    <w:p w:rsidR="00DA73FA" w:rsidRDefault="00DA73FA">
      <w:pPr>
        <w:spacing w:line="276" w:lineRule="auto"/>
        <w:jc w:val="both"/>
        <w:rPr>
          <w:sz w:val="24"/>
        </w:rPr>
        <w:sectPr w:rsidR="00DA73FA">
          <w:pgSz w:w="12240" w:h="15840"/>
          <w:pgMar w:top="980" w:right="1320" w:bottom="280" w:left="1340" w:header="763" w:footer="0" w:gutter="0"/>
          <w:cols w:space="720"/>
        </w:sectPr>
      </w:pPr>
    </w:p>
    <w:p w:rsidR="00DA73FA" w:rsidRDefault="00DA73FA">
      <w:pPr>
        <w:pStyle w:val="a3"/>
        <w:spacing w:before="1"/>
        <w:rPr>
          <w:sz w:val="18"/>
        </w:rPr>
      </w:pPr>
    </w:p>
    <w:p w:rsidR="00DA73FA" w:rsidRDefault="00A956EA">
      <w:pPr>
        <w:pStyle w:val="a3"/>
        <w:spacing w:before="52"/>
        <w:ind w:left="100"/>
      </w:pPr>
      <w:r>
        <w:t>Appendix</w:t>
      </w:r>
    </w:p>
    <w:p w:rsidR="00DA73FA" w:rsidRDefault="00DA73FA">
      <w:pPr>
        <w:pStyle w:val="a3"/>
        <w:rPr>
          <w:sz w:val="20"/>
        </w:rPr>
      </w:pPr>
    </w:p>
    <w:p w:rsidR="00DA73FA" w:rsidRDefault="00A956EA">
      <w:pPr>
        <w:pStyle w:val="a4"/>
        <w:numPr>
          <w:ilvl w:val="0"/>
          <w:numId w:val="2"/>
        </w:numPr>
        <w:tabs>
          <w:tab w:val="left" w:pos="821"/>
        </w:tabs>
        <w:spacing w:before="1" w:line="276" w:lineRule="auto"/>
        <w:ind w:right="116"/>
        <w:jc w:val="both"/>
        <w:rPr>
          <w:sz w:val="24"/>
        </w:rPr>
      </w:pPr>
      <w:proofErr w:type="spellStart"/>
      <w:r>
        <w:rPr>
          <w:sz w:val="24"/>
        </w:rPr>
        <w:t>Verginadis</w:t>
      </w:r>
      <w:proofErr w:type="spellEnd"/>
      <w:r>
        <w:rPr>
          <w:sz w:val="24"/>
        </w:rPr>
        <w:t xml:space="preserve">, Y., </w:t>
      </w:r>
      <w:proofErr w:type="spellStart"/>
      <w:r>
        <w:rPr>
          <w:sz w:val="24"/>
        </w:rPr>
        <w:t>Michalas</w:t>
      </w:r>
      <w:proofErr w:type="spellEnd"/>
      <w:r>
        <w:rPr>
          <w:sz w:val="24"/>
        </w:rPr>
        <w:t xml:space="preserve">, A., </w:t>
      </w:r>
      <w:proofErr w:type="spellStart"/>
      <w:r>
        <w:rPr>
          <w:sz w:val="24"/>
        </w:rPr>
        <w:t>Gouvas</w:t>
      </w:r>
      <w:proofErr w:type="spellEnd"/>
      <w:r>
        <w:rPr>
          <w:sz w:val="24"/>
        </w:rPr>
        <w:t xml:space="preserve">, P., Schiefer, G., </w:t>
      </w:r>
      <w:proofErr w:type="spellStart"/>
      <w:r>
        <w:rPr>
          <w:sz w:val="24"/>
        </w:rPr>
        <w:t>Hubsch</w:t>
      </w:r>
      <w:proofErr w:type="spellEnd"/>
      <w:r>
        <w:rPr>
          <w:sz w:val="24"/>
        </w:rPr>
        <w:t xml:space="preserve">, G., </w:t>
      </w:r>
      <w:proofErr w:type="spellStart"/>
      <w:r>
        <w:rPr>
          <w:sz w:val="24"/>
        </w:rPr>
        <w:t>Paraskakis</w:t>
      </w:r>
      <w:proofErr w:type="spellEnd"/>
      <w:r>
        <w:rPr>
          <w:sz w:val="24"/>
        </w:rPr>
        <w:t xml:space="preserve">, I., (2017), </w:t>
      </w:r>
      <w:proofErr w:type="spellStart"/>
      <w:r>
        <w:rPr>
          <w:sz w:val="24"/>
        </w:rPr>
        <w:t>PaaSword</w:t>
      </w:r>
      <w:proofErr w:type="spellEnd"/>
      <w:r>
        <w:rPr>
          <w:sz w:val="24"/>
        </w:rPr>
        <w:t xml:space="preserve">: A Holistic Data Privacy and Security by Design Framework for Cloud </w:t>
      </w:r>
      <w:proofErr w:type="gramStart"/>
      <w:r>
        <w:rPr>
          <w:sz w:val="24"/>
        </w:rPr>
        <w:t xml:space="preserve">Services,  </w:t>
      </w:r>
      <w:r>
        <w:rPr>
          <w:i/>
          <w:sz w:val="24"/>
        </w:rPr>
        <w:t>J</w:t>
      </w:r>
      <w:proofErr w:type="gramEnd"/>
      <w:r>
        <w:rPr>
          <w:i/>
          <w:sz w:val="24"/>
        </w:rPr>
        <w:t xml:space="preserve"> Grid Computing, </w:t>
      </w:r>
      <w:r>
        <w:rPr>
          <w:sz w:val="24"/>
        </w:rPr>
        <w:t>15: 219. Retrieve from</w:t>
      </w:r>
      <w:r>
        <w:rPr>
          <w:spacing w:val="-31"/>
          <w:sz w:val="24"/>
        </w:rPr>
        <w:t xml:space="preserve"> </w:t>
      </w:r>
      <w:hyperlink r:id="rId10">
        <w:r>
          <w:rPr>
            <w:color w:val="0000FF"/>
            <w:sz w:val="24"/>
            <w:u w:val="single" w:color="0000FF"/>
          </w:rPr>
          <w:t>https://doi.org/10.1007/s10723-017-9394-2</w:t>
        </w:r>
      </w:hyperlink>
    </w:p>
    <w:p w:rsidR="00DA73FA" w:rsidRDefault="00DA73FA">
      <w:pPr>
        <w:pStyle w:val="a3"/>
        <w:spacing w:before="2"/>
        <w:rPr>
          <w:sz w:val="12"/>
        </w:rPr>
      </w:pPr>
    </w:p>
    <w:p w:rsidR="00DA73FA" w:rsidRDefault="00A956EA">
      <w:pPr>
        <w:pStyle w:val="a4"/>
        <w:numPr>
          <w:ilvl w:val="0"/>
          <w:numId w:val="2"/>
        </w:numPr>
        <w:tabs>
          <w:tab w:val="left" w:pos="821"/>
        </w:tabs>
        <w:spacing w:before="52" w:line="276" w:lineRule="auto"/>
        <w:jc w:val="both"/>
        <w:rPr>
          <w:sz w:val="24"/>
        </w:rPr>
      </w:pPr>
      <w:proofErr w:type="spellStart"/>
      <w:r>
        <w:rPr>
          <w:sz w:val="24"/>
        </w:rPr>
        <w:t>Taitsman</w:t>
      </w:r>
      <w:proofErr w:type="spellEnd"/>
      <w:r>
        <w:rPr>
          <w:sz w:val="24"/>
        </w:rPr>
        <w:t xml:space="preserve">, J. K., M.D., J.D., Grimm, C. M., M.P.A., Agrawal, S., M.D., (2013), Protecting Patient Privacy and Data Security, </w:t>
      </w:r>
      <w:r>
        <w:rPr>
          <w:i/>
          <w:sz w:val="24"/>
        </w:rPr>
        <w:t xml:space="preserve">The New England Journal of Medicine, Volume </w:t>
      </w:r>
      <w:r>
        <w:rPr>
          <w:sz w:val="24"/>
        </w:rPr>
        <w:t>368(11),</w:t>
      </w:r>
      <w:r>
        <w:rPr>
          <w:spacing w:val="-1"/>
          <w:sz w:val="24"/>
        </w:rPr>
        <w:t xml:space="preserve"> </w:t>
      </w:r>
      <w:r>
        <w:rPr>
          <w:sz w:val="24"/>
        </w:rPr>
        <w:t>977-9</w:t>
      </w:r>
    </w:p>
    <w:p w:rsidR="00DA73FA" w:rsidRDefault="00A956EA">
      <w:pPr>
        <w:pStyle w:val="a4"/>
        <w:numPr>
          <w:ilvl w:val="0"/>
          <w:numId w:val="2"/>
        </w:numPr>
        <w:tabs>
          <w:tab w:val="left" w:pos="821"/>
        </w:tabs>
        <w:spacing w:before="198" w:line="276" w:lineRule="auto"/>
        <w:ind w:right="112"/>
        <w:jc w:val="both"/>
        <w:rPr>
          <w:sz w:val="24"/>
        </w:rPr>
      </w:pPr>
      <w:r>
        <w:rPr>
          <w:sz w:val="24"/>
        </w:rPr>
        <w:t>Budg</w:t>
      </w:r>
      <w:r>
        <w:rPr>
          <w:sz w:val="24"/>
        </w:rPr>
        <w:t xml:space="preserve">e, J., &amp; </w:t>
      </w:r>
      <w:proofErr w:type="spellStart"/>
      <w:r>
        <w:rPr>
          <w:sz w:val="24"/>
        </w:rPr>
        <w:t>Shey</w:t>
      </w:r>
      <w:proofErr w:type="spellEnd"/>
      <w:r>
        <w:rPr>
          <w:sz w:val="24"/>
        </w:rPr>
        <w:t xml:space="preserve">, H., (2012), Privacy and data protection governance in five steps. Retrieved from </w:t>
      </w:r>
      <w:hyperlink r:id="rId11">
        <w:r>
          <w:rPr>
            <w:color w:val="0000FF"/>
            <w:sz w:val="24"/>
            <w:u w:val="single" w:color="0000FF"/>
          </w:rPr>
          <w:t>http://searchcio.techtarget.com/tip/Privacy-and-data</w:t>
        </w:r>
        <w:r>
          <w:rPr>
            <w:color w:val="0000FF"/>
            <w:sz w:val="24"/>
            <w:u w:val="single" w:color="0000FF"/>
          </w:rPr>
          <w:t xml:space="preserve">-protection- </w:t>
        </w:r>
      </w:hyperlink>
      <w:hyperlink r:id="rId12">
        <w:r>
          <w:rPr>
            <w:color w:val="0000FF"/>
            <w:sz w:val="24"/>
            <w:u w:val="single" w:color="0000FF"/>
          </w:rPr>
          <w:t>governance-in-five-steps</w:t>
        </w:r>
      </w:hyperlink>
    </w:p>
    <w:p w:rsidR="00DA73FA" w:rsidRDefault="00DA73FA">
      <w:pPr>
        <w:pStyle w:val="a3"/>
        <w:spacing w:before="2"/>
        <w:rPr>
          <w:sz w:val="12"/>
        </w:rPr>
      </w:pPr>
    </w:p>
    <w:p w:rsidR="00DA73FA" w:rsidRDefault="00A956EA">
      <w:pPr>
        <w:pStyle w:val="a4"/>
        <w:numPr>
          <w:ilvl w:val="0"/>
          <w:numId w:val="2"/>
        </w:numPr>
        <w:tabs>
          <w:tab w:val="left" w:pos="821"/>
        </w:tabs>
        <w:spacing w:before="52" w:line="276" w:lineRule="auto"/>
        <w:jc w:val="both"/>
        <w:rPr>
          <w:sz w:val="24"/>
        </w:rPr>
      </w:pPr>
      <w:proofErr w:type="spellStart"/>
      <w:r>
        <w:rPr>
          <w:sz w:val="24"/>
        </w:rPr>
        <w:t>Borhade</w:t>
      </w:r>
      <w:proofErr w:type="spellEnd"/>
      <w:r>
        <w:rPr>
          <w:sz w:val="24"/>
        </w:rPr>
        <w:t xml:space="preserve">, S. S., </w:t>
      </w:r>
      <w:proofErr w:type="spellStart"/>
      <w:r>
        <w:rPr>
          <w:sz w:val="24"/>
        </w:rPr>
        <w:t>Gumaste</w:t>
      </w:r>
      <w:proofErr w:type="spellEnd"/>
      <w:r>
        <w:rPr>
          <w:sz w:val="24"/>
        </w:rPr>
        <w:t xml:space="preserve">, S. V., (2015) Defining Privacy for Data Mining- An Overview, </w:t>
      </w:r>
      <w:r>
        <w:rPr>
          <w:i/>
          <w:sz w:val="24"/>
        </w:rPr>
        <w:t>International Journal o</w:t>
      </w:r>
      <w:r>
        <w:rPr>
          <w:i/>
          <w:sz w:val="24"/>
        </w:rPr>
        <w:t>f Science, Engineering and Computer Technology</w:t>
      </w:r>
      <w:r>
        <w:rPr>
          <w:sz w:val="24"/>
        </w:rPr>
        <w:t>, Volume 5(6), 182-184</w:t>
      </w:r>
    </w:p>
    <w:p w:rsidR="00DA73FA" w:rsidRDefault="00A956EA">
      <w:pPr>
        <w:pStyle w:val="a4"/>
        <w:numPr>
          <w:ilvl w:val="0"/>
          <w:numId w:val="2"/>
        </w:numPr>
        <w:tabs>
          <w:tab w:val="left" w:pos="821"/>
        </w:tabs>
        <w:spacing w:before="198" w:line="278" w:lineRule="auto"/>
        <w:ind w:right="115"/>
        <w:jc w:val="both"/>
        <w:rPr>
          <w:sz w:val="24"/>
        </w:rPr>
      </w:pPr>
      <w:r>
        <w:rPr>
          <w:sz w:val="24"/>
        </w:rPr>
        <w:t xml:space="preserve">Hart, H., (2007), Defining issues: what constitutes "personal data" in law, </w:t>
      </w:r>
      <w:r>
        <w:rPr>
          <w:i/>
          <w:sz w:val="24"/>
        </w:rPr>
        <w:t>New Law Journal</w:t>
      </w:r>
      <w:r>
        <w:rPr>
          <w:sz w:val="24"/>
        </w:rPr>
        <w:t xml:space="preserve">, </w:t>
      </w:r>
      <w:r>
        <w:rPr>
          <w:i/>
          <w:sz w:val="24"/>
        </w:rPr>
        <w:t xml:space="preserve">Volume </w:t>
      </w:r>
      <w:r>
        <w:rPr>
          <w:sz w:val="24"/>
        </w:rPr>
        <w:t>157(7293),</w:t>
      </w:r>
      <w:r>
        <w:rPr>
          <w:spacing w:val="-4"/>
          <w:sz w:val="24"/>
        </w:rPr>
        <w:t xml:space="preserve"> </w:t>
      </w:r>
      <w:r>
        <w:rPr>
          <w:sz w:val="24"/>
        </w:rPr>
        <w:t>1450(1)</w:t>
      </w:r>
    </w:p>
    <w:sectPr w:rsidR="00DA73FA">
      <w:pgSz w:w="12240" w:h="15840"/>
      <w:pgMar w:top="980" w:right="1320" w:bottom="280" w:left="1340"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56EA" w:rsidRDefault="00A956EA">
      <w:r>
        <w:separator/>
      </w:r>
    </w:p>
  </w:endnote>
  <w:endnote w:type="continuationSeparator" w:id="0">
    <w:p w:rsidR="00A956EA" w:rsidRDefault="00A95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56EA" w:rsidRDefault="00A956EA">
      <w:r>
        <w:separator/>
      </w:r>
    </w:p>
  </w:footnote>
  <w:footnote w:type="continuationSeparator" w:id="0">
    <w:p w:rsidR="00A956EA" w:rsidRDefault="00A95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3FA" w:rsidRDefault="00A956EA">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71pt;margin-top:37.15pt;width:47.65pt;height:13.05pt;z-index:-3424;mso-position-horizontal-relative:page;mso-position-vertical-relative:page" filled="f" stroked="f">
          <v:textbox inset="0,0,0,0">
            <w:txbxContent>
              <w:p w:rsidR="00DA73FA" w:rsidRDefault="00A956EA">
                <w:pPr>
                  <w:spacing w:line="245" w:lineRule="exact"/>
                  <w:ind w:left="20"/>
                </w:pPr>
                <w:r>
                  <w:t>CW Part A</w:t>
                </w:r>
              </w:p>
            </w:txbxContent>
          </v:textbox>
          <w10:wrap anchorx="page" anchory="page"/>
        </v:shape>
      </w:pict>
    </w:r>
    <w:r>
      <w:pict>
        <v:shape id="_x0000_s2049" type="#_x0000_t202" style="position:absolute;margin-left:447.75pt;margin-top:37.15pt;width:93.35pt;height:13.05pt;z-index:-3400;mso-position-horizontal-relative:page;mso-position-vertical-relative:page" filled="f" stroked="f">
          <v:textbox inset="0,0,0,0">
            <w:txbxContent>
              <w:p w:rsidR="00DA73FA" w:rsidRDefault="00A956EA">
                <w:pPr>
                  <w:spacing w:line="245" w:lineRule="exact"/>
                  <w:ind w:left="20"/>
                </w:pPr>
                <w:r>
                  <w:t>Course ID: INF11809</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C83299"/>
    <w:multiLevelType w:val="hybridMultilevel"/>
    <w:tmpl w:val="C0B2248E"/>
    <w:lvl w:ilvl="0" w:tplc="DE02AA26">
      <w:start w:val="1"/>
      <w:numFmt w:val="decimal"/>
      <w:lvlText w:val="%1."/>
      <w:lvlJc w:val="left"/>
      <w:pPr>
        <w:ind w:left="820" w:hanging="360"/>
        <w:jc w:val="left"/>
      </w:pPr>
      <w:rPr>
        <w:rFonts w:ascii="Calibri" w:eastAsia="Calibri" w:hAnsi="Calibri" w:cs="Calibri" w:hint="default"/>
        <w:spacing w:val="-3"/>
        <w:w w:val="100"/>
        <w:sz w:val="24"/>
        <w:szCs w:val="24"/>
      </w:rPr>
    </w:lvl>
    <w:lvl w:ilvl="1" w:tplc="E99C9DF0">
      <w:numFmt w:val="bullet"/>
      <w:lvlText w:val="•"/>
      <w:lvlJc w:val="left"/>
      <w:pPr>
        <w:ind w:left="1696" w:hanging="360"/>
      </w:pPr>
      <w:rPr>
        <w:rFonts w:hint="default"/>
      </w:rPr>
    </w:lvl>
    <w:lvl w:ilvl="2" w:tplc="674A0514">
      <w:numFmt w:val="bullet"/>
      <w:lvlText w:val="•"/>
      <w:lvlJc w:val="left"/>
      <w:pPr>
        <w:ind w:left="2572" w:hanging="360"/>
      </w:pPr>
      <w:rPr>
        <w:rFonts w:hint="default"/>
      </w:rPr>
    </w:lvl>
    <w:lvl w:ilvl="3" w:tplc="4E2A2426">
      <w:numFmt w:val="bullet"/>
      <w:lvlText w:val="•"/>
      <w:lvlJc w:val="left"/>
      <w:pPr>
        <w:ind w:left="3448" w:hanging="360"/>
      </w:pPr>
      <w:rPr>
        <w:rFonts w:hint="default"/>
      </w:rPr>
    </w:lvl>
    <w:lvl w:ilvl="4" w:tplc="0E343278">
      <w:numFmt w:val="bullet"/>
      <w:lvlText w:val="•"/>
      <w:lvlJc w:val="left"/>
      <w:pPr>
        <w:ind w:left="4324" w:hanging="360"/>
      </w:pPr>
      <w:rPr>
        <w:rFonts w:hint="default"/>
      </w:rPr>
    </w:lvl>
    <w:lvl w:ilvl="5" w:tplc="75ACED0A">
      <w:numFmt w:val="bullet"/>
      <w:lvlText w:val="•"/>
      <w:lvlJc w:val="left"/>
      <w:pPr>
        <w:ind w:left="5200" w:hanging="360"/>
      </w:pPr>
      <w:rPr>
        <w:rFonts w:hint="default"/>
      </w:rPr>
    </w:lvl>
    <w:lvl w:ilvl="6" w:tplc="455AE21E">
      <w:numFmt w:val="bullet"/>
      <w:lvlText w:val="•"/>
      <w:lvlJc w:val="left"/>
      <w:pPr>
        <w:ind w:left="6076" w:hanging="360"/>
      </w:pPr>
      <w:rPr>
        <w:rFonts w:hint="default"/>
      </w:rPr>
    </w:lvl>
    <w:lvl w:ilvl="7" w:tplc="306295B4">
      <w:numFmt w:val="bullet"/>
      <w:lvlText w:val="•"/>
      <w:lvlJc w:val="left"/>
      <w:pPr>
        <w:ind w:left="6952" w:hanging="360"/>
      </w:pPr>
      <w:rPr>
        <w:rFonts w:hint="default"/>
      </w:rPr>
    </w:lvl>
    <w:lvl w:ilvl="8" w:tplc="B1B05BB0">
      <w:numFmt w:val="bullet"/>
      <w:lvlText w:val="•"/>
      <w:lvlJc w:val="left"/>
      <w:pPr>
        <w:ind w:left="7828" w:hanging="360"/>
      </w:pPr>
      <w:rPr>
        <w:rFonts w:hint="default"/>
      </w:rPr>
    </w:lvl>
  </w:abstractNum>
  <w:abstractNum w:abstractNumId="1" w15:restartNumberingAfterBreak="0">
    <w:nsid w:val="75A76553"/>
    <w:multiLevelType w:val="hybridMultilevel"/>
    <w:tmpl w:val="BCA0D316"/>
    <w:lvl w:ilvl="0" w:tplc="B0B471AC">
      <w:start w:val="1"/>
      <w:numFmt w:val="decimal"/>
      <w:lvlText w:val="%1."/>
      <w:lvlJc w:val="left"/>
      <w:pPr>
        <w:ind w:left="820" w:hanging="360"/>
        <w:jc w:val="left"/>
      </w:pPr>
      <w:rPr>
        <w:rFonts w:ascii="Calibri" w:eastAsia="Calibri" w:hAnsi="Calibri" w:cs="Calibri" w:hint="default"/>
        <w:spacing w:val="-28"/>
        <w:w w:val="100"/>
        <w:sz w:val="24"/>
        <w:szCs w:val="24"/>
      </w:rPr>
    </w:lvl>
    <w:lvl w:ilvl="1" w:tplc="64AED28A">
      <w:numFmt w:val="bullet"/>
      <w:lvlText w:val="•"/>
      <w:lvlJc w:val="left"/>
      <w:pPr>
        <w:ind w:left="1696" w:hanging="360"/>
      </w:pPr>
      <w:rPr>
        <w:rFonts w:hint="default"/>
      </w:rPr>
    </w:lvl>
    <w:lvl w:ilvl="2" w:tplc="92BCA78A">
      <w:numFmt w:val="bullet"/>
      <w:lvlText w:val="•"/>
      <w:lvlJc w:val="left"/>
      <w:pPr>
        <w:ind w:left="2572" w:hanging="360"/>
      </w:pPr>
      <w:rPr>
        <w:rFonts w:hint="default"/>
      </w:rPr>
    </w:lvl>
    <w:lvl w:ilvl="3" w:tplc="CECC2642">
      <w:numFmt w:val="bullet"/>
      <w:lvlText w:val="•"/>
      <w:lvlJc w:val="left"/>
      <w:pPr>
        <w:ind w:left="3448" w:hanging="360"/>
      </w:pPr>
      <w:rPr>
        <w:rFonts w:hint="default"/>
      </w:rPr>
    </w:lvl>
    <w:lvl w:ilvl="4" w:tplc="0346FBE6">
      <w:numFmt w:val="bullet"/>
      <w:lvlText w:val="•"/>
      <w:lvlJc w:val="left"/>
      <w:pPr>
        <w:ind w:left="4324" w:hanging="360"/>
      </w:pPr>
      <w:rPr>
        <w:rFonts w:hint="default"/>
      </w:rPr>
    </w:lvl>
    <w:lvl w:ilvl="5" w:tplc="54862CE8">
      <w:numFmt w:val="bullet"/>
      <w:lvlText w:val="•"/>
      <w:lvlJc w:val="left"/>
      <w:pPr>
        <w:ind w:left="5200" w:hanging="360"/>
      </w:pPr>
      <w:rPr>
        <w:rFonts w:hint="default"/>
      </w:rPr>
    </w:lvl>
    <w:lvl w:ilvl="6" w:tplc="24009A44">
      <w:numFmt w:val="bullet"/>
      <w:lvlText w:val="•"/>
      <w:lvlJc w:val="left"/>
      <w:pPr>
        <w:ind w:left="6076" w:hanging="360"/>
      </w:pPr>
      <w:rPr>
        <w:rFonts w:hint="default"/>
      </w:rPr>
    </w:lvl>
    <w:lvl w:ilvl="7" w:tplc="D360ACB8">
      <w:numFmt w:val="bullet"/>
      <w:lvlText w:val="•"/>
      <w:lvlJc w:val="left"/>
      <w:pPr>
        <w:ind w:left="6952" w:hanging="360"/>
      </w:pPr>
      <w:rPr>
        <w:rFonts w:hint="default"/>
      </w:rPr>
    </w:lvl>
    <w:lvl w:ilvl="8" w:tplc="C39A8B48">
      <w:numFmt w:val="bullet"/>
      <w:lvlText w:val="•"/>
      <w:lvlJc w:val="left"/>
      <w:pPr>
        <w:ind w:left="7828"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DA73FA"/>
    <w:rsid w:val="00A018F7"/>
    <w:rsid w:val="00A956EA"/>
    <w:rsid w:val="00DA73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C1AD97C2-6CF4-4868-9D3A-8808EA3E3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spacing w:before="201"/>
      <w:ind w:left="10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200"/>
      <w:ind w:left="820" w:right="114"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doi-org.ezproxy.napier.ac.uk/10.1007/978-3-642-55415-5_3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archcio.techtarget.com/tip/Privacy-and-data-protection-governance-in-five-ste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cio.techtarget.com/tip/Privacy-and-data-protection-governance-in-five-steps" TargetMode="External"/><Relationship Id="rId5" Type="http://schemas.openxmlformats.org/officeDocument/2006/relationships/footnotes" Target="footnotes.xml"/><Relationship Id="rId10" Type="http://schemas.openxmlformats.org/officeDocument/2006/relationships/hyperlink" Target="https://doi.org/10.1007/s10723-017-9394-2" TargetMode="External"/><Relationship Id="rId4" Type="http://schemas.openxmlformats.org/officeDocument/2006/relationships/webSettings" Target="webSettings.xml"/><Relationship Id="rId9" Type="http://schemas.openxmlformats.org/officeDocument/2006/relationships/hyperlink" Target="https://doi-org.ezproxy.napier.ac.uk/10.1007/978-3-642-55415-5_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1110</Words>
  <Characters>6329</Characters>
  <Application>Microsoft Office Word</Application>
  <DocSecurity>0</DocSecurity>
  <Lines>52</Lines>
  <Paragraphs>14</Paragraphs>
  <ScaleCrop>false</ScaleCrop>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Hisham almajid</cp:lastModifiedBy>
  <cp:revision>2</cp:revision>
  <dcterms:created xsi:type="dcterms:W3CDTF">2019-09-18T19:06:00Z</dcterms:created>
  <dcterms:modified xsi:type="dcterms:W3CDTF">2019-09-18T16:13:00Z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2018-10-19T00:00:00Z</vt:filetime>
  </property>
  <property fmtid="{D5CDD505-2E9C-101B-9397-08002B2CF9AE}" pid="3" name="Creator">
    <vt:lpwstr>Microsoft® Word for Office 365</vt:lpwstr>
  </property>
  <property fmtid="{D5CDD505-2E9C-101B-9397-08002B2CF9AE}" pid="4" name="LastSaved">
    <vt:filetime>2019-09-18T00:00:00Z</vt:filetime>
  </property>
</Properties>
</file>